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jc w:val="center"/>
      </w:pPr>
      <w:r>
        <w:rPr>
          <w:b/>
          <w:bCs/>
        </w:rPr>
        <w:t xml:space="preserve">Understanding Bitcoin Volatility: Complete Guide</w:t>
      </w:r>
    </w:p>
    <w:p>
      <w:pPr>
        <w:spacing w:after="400"/>
        <w:jc w:val="center"/>
      </w:pPr>
      <w:r>
        <w:rPr>
          <w:i/>
          <w:iCs/>
          <w:sz w:val="22"/>
          <w:szCs w:val="22"/>
        </w:rPr>
        <w:t xml:space="preserve">Internal Resource for Bitcoin Investors</w:t>
      </w:r>
    </w:p>
    <w:p>
      <w:pPr>
        <w:pStyle w:val="Heading2"/>
      </w:pPr>
      <w:r>
        <w:t xml:space="preserve">What Makes Bitcoin So Volatile?</w:t>
      </w:r>
    </w:p>
    <w:p>
      <w:pPr>
        <w:spacing w:after="240"/>
      </w:pPr>
      <w:r>
        <w:t xml:space="preserve">Bitcoin's volatility stems from several structural factors that differentiate it from traditional assets: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24/7 global trading: </w:t>
      </w:r>
      <w:r>
        <w:t xml:space="preserve">No market close means risk absorption never pauses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Limited float: </w:t>
      </w:r>
      <w:r>
        <w:t xml:space="preserve">Only 21M Bitcoin will ever exist, amplifying price swings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Leverage availability: </w:t>
      </w:r>
      <w:r>
        <w:t xml:space="preserve">Up to 100x leverage creates liquidation cascades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No circuit breakers: </w:t>
      </w:r>
      <w:r>
        <w:t xml:space="preserve">Unlike stocks, Bitcoin has no trading halts</w:t>
      </w:r>
    </w:p>
    <w:p>
      <w:pPr>
        <w:pStyle w:val="ListParagraph"/>
        <w:numPr>
          <w:ilvl w:val="0"/>
          <w:numId w:val="2"/>
        </w:numPr>
        <w:spacing w:after="400"/>
      </w:pPr>
      <w:r>
        <w:rPr>
          <w:b/>
          <w:bCs/>
        </w:rPr>
        <w:t xml:space="preserve">Young asset class: </w:t>
      </w:r>
      <w:r>
        <w:t xml:space="preserve">Price discovery ongoing since 2009</w:t>
      </w:r>
    </w:p>
    <w:p>
      <w:pPr>
        <w:pStyle w:val="Heading2"/>
      </w:pPr>
      <w:r>
        <w:t xml:space="preserve">Historical Volatility Patterns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r>
              <w:rPr>
                <w:b/>
                <w:bCs/>
              </w:rPr>
              <w:t xml:space="preserve">Period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r>
              <w:rPr>
                <w:b/>
                <w:bCs/>
              </w:rPr>
              <w:t xml:space="preserve">Average Volatility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r>
              <w:rPr>
                <w:b/>
                <w:bCs/>
              </w:rPr>
              <w:t xml:space="preserve">Max Drawdown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r>
              <w:t xml:space="preserve">2020-2021 Bull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r>
              <w:t xml:space="preserve">4.5% daily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r>
              <w:t xml:space="preserve">-54%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r>
              <w:t xml:space="preserve">2022 Bear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r>
              <w:t xml:space="preserve">3.8% daily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r>
              <w:t xml:space="preserve">-77%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r>
              <w:t xml:space="preserve">2024-2025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r>
              <w:t xml:space="preserve">3.2% daily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r>
              <w:t xml:space="preserve">-42%</w:t>
            </w:r>
          </w:p>
        </w:tc>
      </w:tr>
    </w:tbl>
    <w:p>
      <w:pPr>
        <w:spacing w:after="400"/>
      </w:pPr>
    </w:p>
    <w:p>
      <w:pPr>
        <w:pStyle w:val="Heading2"/>
      </w:pPr>
      <w:r>
        <w:t xml:space="preserve">How to Use Volatility to Your Advantage</w:t>
      </w:r>
    </w:p>
    <w:p>
      <w:pPr>
        <w:spacing w:after="240"/>
      </w:pPr>
      <w:r>
        <w:rPr>
          <w:b/>
          <w:bCs/>
        </w:rPr>
        <w:t xml:space="preserve">Smart investors don't fear volatility—they prepare for it:</w:t>
      </w:r>
    </w:p>
    <w:p>
      <w:pPr>
        <w:pStyle w:val="ListParagraph"/>
        <w:numPr>
          <w:ilvl w:val="0"/>
          <w:numId w:val="2"/>
        </w:numPr>
      </w:pPr>
      <w:r>
        <w:t xml:space="preserve">Use volatility contraction as entry signal (low volatility often precedes major moves)</w:t>
      </w:r>
    </w:p>
    <w:p>
      <w:pPr>
        <w:pStyle w:val="ListParagraph"/>
        <w:numPr>
          <w:ilvl w:val="0"/>
          <w:numId w:val="2"/>
        </w:numPr>
      </w:pPr>
      <w:r>
        <w:t xml:space="preserve">Size positions based on current volatility regime (smaller during high vol)</w:t>
      </w:r>
    </w:p>
    <w:p>
      <w:pPr>
        <w:pStyle w:val="ListParagraph"/>
        <w:numPr>
          <w:ilvl w:val="0"/>
          <w:numId w:val="2"/>
        </w:numPr>
      </w:pPr>
      <w:r>
        <w:t xml:space="preserve">Set wider stops during volatile periods to avoid getting shaken out</w:t>
      </w:r>
    </w:p>
    <w:p>
      <w:pPr>
        <w:pStyle w:val="ListParagraph"/>
        <w:numPr>
          <w:ilvl w:val="0"/>
          <w:numId w:val="2"/>
        </w:numPr>
        <w:spacing w:after="400"/>
      </w:pPr>
      <w:r>
        <w:t xml:space="preserve">Never use leverage during volatility expansion</w:t>
      </w:r>
    </w:p>
    <w:p>
      <w:pPr>
        <w:pBdr>
          <w:top w:val="single" w:color="CCCCCC" w:sz="6" w:space="1"/>
        </w:pBdr>
        <w:spacing w:before="400"/>
        <w:jc w:val="center"/>
      </w:pPr>
      <w:r>
        <w:rPr>
          <w:i/>
          <w:iCs/>
          <w:sz w:val="22"/>
          <w:szCs w:val="22"/>
        </w:rPr>
        <w:t xml:space="preserve">Related: Learn how to protect Bitcoin during market crashes →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240" w:after="240"/>
      <w:outlineLvl w:val="0"/>
    </w:pPr>
    <w:rPr>
      <w:rFonts w:ascii="Arial" w:cs="Arial" w:eastAsia="Arial" w:hAnsi="Arial"/>
      <w:b/>
      <w:bCs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180" w:after="180"/>
      <w:outlineLvl w:val="1"/>
    </w:pPr>
    <w:rPr>
      <w:rFonts w:ascii="Arial" w:cs="Arial" w:eastAsia="Arial" w:hAnsi="Arial"/>
      <w:b/>
      <w:bCs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2026-02-20T17:23:20.467Z</dcterms:created>
  <dcterms:modified xsi:type="dcterms:W3CDTF">2026-02-20T17:23:20.468Z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